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07F" w:rsidRPr="0064278C" w:rsidRDefault="00CB507F" w:rsidP="0064278C">
      <w:pPr>
        <w:shd w:val="clear" w:color="auto" w:fill="EEEEEE"/>
        <w:spacing w:after="0" w:line="240" w:lineRule="auto"/>
        <w:rPr>
          <w:rFonts w:cs="Arial"/>
          <w:color w:val="494949"/>
          <w:sz w:val="20"/>
          <w:szCs w:val="20"/>
          <w:lang w:eastAsia="tr-TR"/>
        </w:rPr>
      </w:pPr>
      <w:r w:rsidRPr="0064278C">
        <w:rPr>
          <w:rFonts w:cs="Arial"/>
          <w:color w:val="494949"/>
          <w:sz w:val="20"/>
          <w:szCs w:val="20"/>
          <w:lang w:eastAsia="tr-TR"/>
        </w:rPr>
        <w:t>B.07.1.GİB.4.06.16.01-2011-GVK-94-15-706</w:t>
      </w:r>
    </w:p>
    <w:p w:rsidR="00CB507F" w:rsidRPr="0064278C" w:rsidRDefault="00CB507F" w:rsidP="0064278C">
      <w:pPr>
        <w:shd w:val="clear" w:color="auto" w:fill="EEEEEE"/>
        <w:spacing w:after="0" w:line="240" w:lineRule="auto"/>
        <w:rPr>
          <w:rFonts w:cs="Arial"/>
          <w:b/>
          <w:bCs/>
          <w:color w:val="494949"/>
          <w:sz w:val="20"/>
          <w:szCs w:val="20"/>
          <w:lang w:eastAsia="tr-TR"/>
        </w:rPr>
      </w:pPr>
      <w:r w:rsidRPr="0064278C">
        <w:rPr>
          <w:rFonts w:cs="Arial"/>
          <w:b/>
          <w:bCs/>
          <w:color w:val="494949"/>
          <w:sz w:val="20"/>
          <w:szCs w:val="20"/>
          <w:lang w:eastAsia="tr-TR"/>
        </w:rPr>
        <w:t>Tarih: </w:t>
      </w:r>
    </w:p>
    <w:p w:rsidR="00CB507F" w:rsidRPr="0064278C" w:rsidRDefault="00CB507F" w:rsidP="0064278C">
      <w:pPr>
        <w:shd w:val="clear" w:color="auto" w:fill="EEEEEE"/>
        <w:spacing w:line="240" w:lineRule="auto"/>
        <w:rPr>
          <w:rFonts w:cs="Arial"/>
          <w:color w:val="494949"/>
          <w:sz w:val="20"/>
          <w:szCs w:val="20"/>
          <w:lang w:eastAsia="tr-TR"/>
        </w:rPr>
      </w:pPr>
      <w:r w:rsidRPr="0064278C">
        <w:rPr>
          <w:rFonts w:cs="Arial"/>
          <w:color w:val="494949"/>
          <w:sz w:val="20"/>
          <w:szCs w:val="20"/>
          <w:lang w:eastAsia="tr-TR"/>
        </w:rPr>
        <w:t>08/09/2011</w:t>
      </w:r>
    </w:p>
    <w:p w:rsidR="00CB507F" w:rsidRPr="0064278C" w:rsidRDefault="00CB507F" w:rsidP="0064278C">
      <w:pPr>
        <w:shd w:val="clear" w:color="auto" w:fill="FFFFFF"/>
        <w:spacing w:after="0" w:line="240" w:lineRule="auto"/>
        <w:rPr>
          <w:rFonts w:cs="Arial"/>
          <w:color w:val="494949"/>
          <w:sz w:val="20"/>
          <w:szCs w:val="20"/>
          <w:lang w:eastAsia="tr-TR"/>
        </w:rPr>
      </w:pPr>
      <w:r w:rsidRPr="0064278C">
        <w:rPr>
          <w:rFonts w:cs="Arial"/>
          <w:color w:val="494949"/>
          <w:sz w:val="20"/>
          <w:szCs w:val="20"/>
          <w:lang w:eastAsia="tr-TR"/>
        </w:rPr>
        <w:t> </w:t>
      </w:r>
    </w:p>
    <w:tbl>
      <w:tblPr>
        <w:tblW w:w="13035" w:type="dxa"/>
        <w:tblCellMar>
          <w:left w:w="0" w:type="dxa"/>
          <w:right w:w="0" w:type="dxa"/>
        </w:tblCellMar>
        <w:tblLook w:val="00A0"/>
      </w:tblPr>
      <w:tblGrid>
        <w:gridCol w:w="936"/>
        <w:gridCol w:w="170"/>
        <w:gridCol w:w="5486"/>
        <w:gridCol w:w="3062"/>
        <w:gridCol w:w="3381"/>
      </w:tblGrid>
      <w:tr w:rsidR="00CB507F" w:rsidRPr="000D2239" w:rsidTr="0064278C">
        <w:tc>
          <w:tcPr>
            <w:tcW w:w="9195" w:type="dxa"/>
            <w:gridSpan w:val="5"/>
            <w:tcBorders>
              <w:top w:val="nil"/>
              <w:left w:val="nil"/>
              <w:bottom w:val="nil"/>
              <w:right w:val="nil"/>
            </w:tcBorders>
          </w:tcPr>
          <w:p w:rsidR="00CB507F" w:rsidRPr="0064278C" w:rsidRDefault="00CB507F" w:rsidP="0064278C">
            <w:pPr>
              <w:spacing w:after="150" w:line="240" w:lineRule="auto"/>
              <w:jc w:val="center"/>
              <w:rPr>
                <w:rFonts w:ascii="Times New Roman" w:hAnsi="Times New Roman"/>
                <w:szCs w:val="24"/>
                <w:lang w:eastAsia="tr-TR"/>
              </w:rPr>
            </w:pPr>
            <w:r w:rsidRPr="0064278C">
              <w:rPr>
                <w:rFonts w:ascii="Times New Roman" w:hAnsi="Times New Roman"/>
                <w:b/>
                <w:bCs/>
                <w:szCs w:val="24"/>
                <w:lang w:eastAsia="tr-TR"/>
              </w:rPr>
              <w:t>T.C.</w:t>
            </w:r>
          </w:p>
          <w:p w:rsidR="00CB507F" w:rsidRPr="0064278C" w:rsidRDefault="00CB507F" w:rsidP="0064278C">
            <w:pPr>
              <w:spacing w:after="150" w:line="240" w:lineRule="auto"/>
              <w:jc w:val="center"/>
              <w:rPr>
                <w:rFonts w:ascii="Times New Roman" w:hAnsi="Times New Roman"/>
                <w:szCs w:val="24"/>
                <w:lang w:eastAsia="tr-TR"/>
              </w:rPr>
            </w:pPr>
            <w:r w:rsidRPr="0064278C">
              <w:rPr>
                <w:rFonts w:ascii="Times New Roman" w:hAnsi="Times New Roman"/>
                <w:b/>
                <w:bCs/>
                <w:szCs w:val="24"/>
                <w:lang w:eastAsia="tr-TR"/>
              </w:rPr>
              <w:t>GELİR İDARESİ BAŞKANLIĞI</w:t>
            </w:r>
          </w:p>
          <w:p w:rsidR="00CB507F" w:rsidRPr="0064278C" w:rsidRDefault="00CB507F" w:rsidP="0064278C">
            <w:pPr>
              <w:spacing w:after="150" w:line="240" w:lineRule="auto"/>
              <w:jc w:val="center"/>
              <w:rPr>
                <w:rFonts w:ascii="Times New Roman" w:hAnsi="Times New Roman"/>
                <w:szCs w:val="24"/>
                <w:lang w:eastAsia="tr-TR"/>
              </w:rPr>
            </w:pPr>
            <w:r w:rsidRPr="0064278C">
              <w:rPr>
                <w:rFonts w:ascii="Times New Roman" w:hAnsi="Times New Roman"/>
                <w:b/>
                <w:bCs/>
                <w:szCs w:val="24"/>
                <w:lang w:eastAsia="tr-TR"/>
              </w:rPr>
              <w:t>ANKARA VERGİ DAİRESİ BAŞKANLIĞI</w:t>
            </w:r>
          </w:p>
          <w:p w:rsidR="00CB507F" w:rsidRPr="0064278C" w:rsidRDefault="00CB507F" w:rsidP="0064278C">
            <w:pPr>
              <w:spacing w:after="150" w:line="240" w:lineRule="auto"/>
              <w:jc w:val="center"/>
              <w:rPr>
                <w:rFonts w:ascii="Times New Roman" w:hAnsi="Times New Roman"/>
                <w:szCs w:val="24"/>
                <w:lang w:eastAsia="tr-TR"/>
              </w:rPr>
            </w:pPr>
            <w:r w:rsidRPr="0064278C">
              <w:rPr>
                <w:rFonts w:ascii="Times New Roman" w:hAnsi="Times New Roman"/>
                <w:b/>
                <w:bCs/>
                <w:szCs w:val="24"/>
                <w:lang w:eastAsia="tr-TR"/>
              </w:rPr>
              <w:t>( Mükellef Hizmetleri Gelir Vergileri Grup Müdürlüğü )</w:t>
            </w:r>
          </w:p>
          <w:p w:rsidR="00CB507F" w:rsidRPr="0064278C" w:rsidRDefault="00CB507F" w:rsidP="0064278C">
            <w:pPr>
              <w:spacing w:after="150" w:line="240" w:lineRule="auto"/>
              <w:jc w:val="center"/>
              <w:rPr>
                <w:rFonts w:ascii="Times New Roman" w:hAnsi="Times New Roman"/>
                <w:szCs w:val="24"/>
                <w:lang w:eastAsia="tr-TR"/>
              </w:rPr>
            </w:pPr>
            <w:r w:rsidRPr="0064278C">
              <w:rPr>
                <w:rFonts w:ascii="Times New Roman" w:hAnsi="Times New Roman"/>
                <w:szCs w:val="24"/>
                <w:lang w:eastAsia="tr-TR"/>
              </w:rPr>
              <w:t> </w:t>
            </w:r>
          </w:p>
        </w:tc>
      </w:tr>
      <w:tr w:rsidR="00CB507F" w:rsidRPr="000D2239" w:rsidTr="0064278C">
        <w:tc>
          <w:tcPr>
            <w:tcW w:w="4650" w:type="dxa"/>
            <w:gridSpan w:val="3"/>
            <w:tcBorders>
              <w:top w:val="nil"/>
              <w:left w:val="nil"/>
              <w:bottom w:val="nil"/>
              <w:right w:val="nil"/>
            </w:tcBorders>
          </w:tcPr>
          <w:p w:rsidR="00CB507F" w:rsidRPr="0064278C" w:rsidRDefault="00CB507F" w:rsidP="0064278C">
            <w:pPr>
              <w:spacing w:after="150" w:line="240" w:lineRule="auto"/>
              <w:rPr>
                <w:rFonts w:ascii="Times New Roman" w:hAnsi="Times New Roman"/>
                <w:szCs w:val="24"/>
                <w:lang w:eastAsia="tr-TR"/>
              </w:rPr>
            </w:pPr>
            <w:r w:rsidRPr="0064278C">
              <w:rPr>
                <w:rFonts w:ascii="Times New Roman" w:hAnsi="Times New Roman"/>
                <w:szCs w:val="24"/>
                <w:lang w:eastAsia="tr-TR"/>
              </w:rPr>
              <w:t> </w:t>
            </w:r>
          </w:p>
        </w:tc>
        <w:tc>
          <w:tcPr>
            <w:tcW w:w="4545" w:type="dxa"/>
            <w:gridSpan w:val="2"/>
            <w:tcBorders>
              <w:top w:val="nil"/>
              <w:left w:val="nil"/>
              <w:bottom w:val="nil"/>
              <w:right w:val="nil"/>
            </w:tcBorders>
          </w:tcPr>
          <w:p w:rsidR="00CB507F" w:rsidRPr="0064278C" w:rsidRDefault="00CB507F" w:rsidP="0064278C">
            <w:pPr>
              <w:spacing w:after="150" w:line="240" w:lineRule="auto"/>
              <w:rPr>
                <w:rFonts w:ascii="Times New Roman" w:hAnsi="Times New Roman"/>
                <w:szCs w:val="24"/>
                <w:lang w:eastAsia="tr-TR"/>
              </w:rPr>
            </w:pPr>
            <w:r w:rsidRPr="0064278C">
              <w:rPr>
                <w:rFonts w:ascii="Times New Roman" w:hAnsi="Times New Roman"/>
                <w:szCs w:val="24"/>
                <w:lang w:eastAsia="tr-TR"/>
              </w:rPr>
              <w:t> </w:t>
            </w:r>
          </w:p>
        </w:tc>
      </w:tr>
      <w:tr w:rsidR="00CB507F" w:rsidRPr="000D2239" w:rsidTr="0064278C">
        <w:tc>
          <w:tcPr>
            <w:tcW w:w="660" w:type="dxa"/>
            <w:tcBorders>
              <w:top w:val="nil"/>
              <w:left w:val="nil"/>
              <w:bottom w:val="nil"/>
              <w:right w:val="nil"/>
            </w:tcBorders>
          </w:tcPr>
          <w:p w:rsidR="00CB507F" w:rsidRPr="0064278C" w:rsidRDefault="00CB507F" w:rsidP="0064278C">
            <w:pPr>
              <w:spacing w:after="150" w:line="240" w:lineRule="auto"/>
              <w:rPr>
                <w:rFonts w:ascii="Times New Roman" w:hAnsi="Times New Roman"/>
                <w:szCs w:val="24"/>
                <w:lang w:eastAsia="tr-TR"/>
              </w:rPr>
            </w:pPr>
            <w:r w:rsidRPr="0064278C">
              <w:rPr>
                <w:rFonts w:ascii="Times New Roman" w:hAnsi="Times New Roman"/>
                <w:szCs w:val="24"/>
                <w:lang w:eastAsia="tr-TR"/>
              </w:rPr>
              <w:t>Sayı</w:t>
            </w:r>
          </w:p>
        </w:tc>
        <w:tc>
          <w:tcPr>
            <w:tcW w:w="120" w:type="dxa"/>
            <w:tcBorders>
              <w:top w:val="nil"/>
              <w:left w:val="nil"/>
              <w:bottom w:val="nil"/>
              <w:right w:val="nil"/>
            </w:tcBorders>
          </w:tcPr>
          <w:p w:rsidR="00CB507F" w:rsidRPr="0064278C" w:rsidRDefault="00CB507F" w:rsidP="0064278C">
            <w:pPr>
              <w:spacing w:after="150" w:line="240" w:lineRule="auto"/>
              <w:jc w:val="center"/>
              <w:rPr>
                <w:rFonts w:ascii="Times New Roman" w:hAnsi="Times New Roman"/>
                <w:szCs w:val="24"/>
                <w:lang w:eastAsia="tr-TR"/>
              </w:rPr>
            </w:pPr>
            <w:r w:rsidRPr="0064278C">
              <w:rPr>
                <w:rFonts w:ascii="Times New Roman" w:hAnsi="Times New Roman"/>
                <w:szCs w:val="24"/>
                <w:lang w:eastAsia="tr-TR"/>
              </w:rPr>
              <w:t>:</w:t>
            </w:r>
          </w:p>
        </w:tc>
        <w:tc>
          <w:tcPr>
            <w:tcW w:w="6030" w:type="dxa"/>
            <w:gridSpan w:val="2"/>
            <w:tcBorders>
              <w:top w:val="nil"/>
              <w:left w:val="nil"/>
              <w:bottom w:val="nil"/>
              <w:right w:val="nil"/>
            </w:tcBorders>
          </w:tcPr>
          <w:p w:rsidR="00CB507F" w:rsidRPr="0064278C" w:rsidRDefault="00CB507F" w:rsidP="00A875A7">
            <w:pPr>
              <w:spacing w:after="150" w:line="240" w:lineRule="auto"/>
              <w:ind w:right="-836"/>
              <w:rPr>
                <w:rFonts w:ascii="Times New Roman" w:hAnsi="Times New Roman"/>
                <w:szCs w:val="24"/>
                <w:lang w:eastAsia="tr-TR"/>
              </w:rPr>
            </w:pPr>
            <w:r w:rsidRPr="0064278C">
              <w:rPr>
                <w:rFonts w:ascii="Times New Roman" w:hAnsi="Times New Roman"/>
                <w:szCs w:val="24"/>
                <w:lang w:eastAsia="tr-TR"/>
              </w:rPr>
              <w:t>B.07.1.GİB.4.06.16.01-2011-GVK-94-15-706</w:t>
            </w:r>
          </w:p>
        </w:tc>
        <w:tc>
          <w:tcPr>
            <w:tcW w:w="2385" w:type="dxa"/>
            <w:tcBorders>
              <w:top w:val="nil"/>
              <w:left w:val="nil"/>
              <w:bottom w:val="nil"/>
              <w:right w:val="nil"/>
            </w:tcBorders>
          </w:tcPr>
          <w:p w:rsidR="00CB507F" w:rsidRPr="0064278C" w:rsidRDefault="00CB507F" w:rsidP="0064278C">
            <w:pPr>
              <w:spacing w:after="150" w:line="240" w:lineRule="auto"/>
              <w:rPr>
                <w:rFonts w:ascii="Times New Roman" w:hAnsi="Times New Roman"/>
                <w:szCs w:val="24"/>
                <w:lang w:eastAsia="tr-TR"/>
              </w:rPr>
            </w:pPr>
            <w:r w:rsidRPr="0064278C">
              <w:rPr>
                <w:rFonts w:ascii="Times New Roman" w:hAnsi="Times New Roman"/>
                <w:szCs w:val="24"/>
                <w:lang w:eastAsia="tr-TR"/>
              </w:rPr>
              <w:t>08/09/2011</w:t>
            </w:r>
          </w:p>
        </w:tc>
      </w:tr>
      <w:tr w:rsidR="00CB507F" w:rsidRPr="000D2239" w:rsidTr="0064278C">
        <w:tc>
          <w:tcPr>
            <w:tcW w:w="660" w:type="dxa"/>
            <w:tcBorders>
              <w:top w:val="nil"/>
              <w:left w:val="nil"/>
              <w:bottom w:val="nil"/>
              <w:right w:val="nil"/>
            </w:tcBorders>
          </w:tcPr>
          <w:p w:rsidR="00CB507F" w:rsidRPr="0064278C" w:rsidRDefault="00CB507F" w:rsidP="0064278C">
            <w:pPr>
              <w:spacing w:after="150" w:line="240" w:lineRule="auto"/>
              <w:rPr>
                <w:rFonts w:ascii="Times New Roman" w:hAnsi="Times New Roman"/>
                <w:szCs w:val="24"/>
                <w:lang w:eastAsia="tr-TR"/>
              </w:rPr>
            </w:pPr>
            <w:r w:rsidRPr="0064278C">
              <w:rPr>
                <w:rFonts w:ascii="Times New Roman" w:hAnsi="Times New Roman"/>
                <w:szCs w:val="24"/>
                <w:lang w:eastAsia="tr-TR"/>
              </w:rPr>
              <w:t>Konu</w:t>
            </w:r>
          </w:p>
        </w:tc>
        <w:tc>
          <w:tcPr>
            <w:tcW w:w="120" w:type="dxa"/>
            <w:tcBorders>
              <w:top w:val="nil"/>
              <w:left w:val="nil"/>
              <w:bottom w:val="nil"/>
              <w:right w:val="nil"/>
            </w:tcBorders>
          </w:tcPr>
          <w:p w:rsidR="00CB507F" w:rsidRPr="0064278C" w:rsidRDefault="00CB507F" w:rsidP="0064278C">
            <w:pPr>
              <w:spacing w:after="150" w:line="240" w:lineRule="auto"/>
              <w:jc w:val="center"/>
              <w:rPr>
                <w:rFonts w:ascii="Times New Roman" w:hAnsi="Times New Roman"/>
                <w:szCs w:val="24"/>
                <w:lang w:eastAsia="tr-TR"/>
              </w:rPr>
            </w:pPr>
            <w:r w:rsidRPr="0064278C">
              <w:rPr>
                <w:rFonts w:ascii="Times New Roman" w:hAnsi="Times New Roman"/>
                <w:szCs w:val="24"/>
                <w:lang w:eastAsia="tr-TR"/>
              </w:rPr>
              <w:t>:</w:t>
            </w:r>
          </w:p>
        </w:tc>
        <w:tc>
          <w:tcPr>
            <w:tcW w:w="3870" w:type="dxa"/>
            <w:tcBorders>
              <w:top w:val="nil"/>
              <w:left w:val="nil"/>
              <w:bottom w:val="nil"/>
              <w:right w:val="nil"/>
            </w:tcBorders>
          </w:tcPr>
          <w:p w:rsidR="00CB507F" w:rsidRPr="0064278C" w:rsidRDefault="00CB507F" w:rsidP="0064278C">
            <w:pPr>
              <w:spacing w:after="150" w:line="240" w:lineRule="auto"/>
              <w:rPr>
                <w:rFonts w:ascii="Times New Roman" w:hAnsi="Times New Roman"/>
                <w:szCs w:val="24"/>
                <w:lang w:eastAsia="tr-TR"/>
              </w:rPr>
            </w:pPr>
            <w:r w:rsidRPr="0064278C">
              <w:rPr>
                <w:rFonts w:ascii="Times New Roman" w:hAnsi="Times New Roman"/>
                <w:szCs w:val="24"/>
                <w:lang w:eastAsia="tr-TR"/>
              </w:rPr>
              <w:t>Site yönetim ve denetim kurulu üyelerine yapılan huzur hakkı ödemelerinin vergilendirilmesi</w:t>
            </w:r>
          </w:p>
        </w:tc>
        <w:tc>
          <w:tcPr>
            <w:tcW w:w="4545" w:type="dxa"/>
            <w:gridSpan w:val="2"/>
            <w:tcBorders>
              <w:top w:val="nil"/>
              <w:left w:val="nil"/>
              <w:bottom w:val="nil"/>
              <w:right w:val="nil"/>
            </w:tcBorders>
          </w:tcPr>
          <w:p w:rsidR="00CB507F" w:rsidRPr="0064278C" w:rsidRDefault="00CB507F" w:rsidP="0064278C">
            <w:pPr>
              <w:spacing w:after="150" w:line="240" w:lineRule="auto"/>
              <w:rPr>
                <w:rFonts w:ascii="Times New Roman" w:hAnsi="Times New Roman"/>
                <w:szCs w:val="24"/>
                <w:lang w:eastAsia="tr-TR"/>
              </w:rPr>
            </w:pPr>
            <w:r w:rsidRPr="0064278C">
              <w:rPr>
                <w:rFonts w:ascii="Times New Roman" w:hAnsi="Times New Roman"/>
                <w:szCs w:val="24"/>
                <w:lang w:eastAsia="tr-TR"/>
              </w:rPr>
              <w:t> </w:t>
            </w:r>
          </w:p>
        </w:tc>
      </w:tr>
    </w:tbl>
    <w:p w:rsidR="00CB507F" w:rsidRPr="0064278C" w:rsidRDefault="00CB507F" w:rsidP="0064278C">
      <w:pPr>
        <w:shd w:val="clear" w:color="auto" w:fill="FFFFFF"/>
        <w:spacing w:before="240" w:after="150" w:line="240" w:lineRule="auto"/>
        <w:rPr>
          <w:rFonts w:cs="Arial"/>
          <w:color w:val="494949"/>
          <w:sz w:val="20"/>
          <w:szCs w:val="20"/>
          <w:lang w:eastAsia="tr-TR"/>
        </w:rPr>
      </w:pPr>
      <w:r w:rsidRPr="0064278C">
        <w:rPr>
          <w:rFonts w:cs="Arial"/>
          <w:color w:val="494949"/>
          <w:sz w:val="20"/>
          <w:szCs w:val="20"/>
          <w:lang w:eastAsia="tr-TR"/>
        </w:rPr>
        <w:t> </w:t>
      </w:r>
    </w:p>
    <w:p w:rsidR="00CB507F" w:rsidRPr="0064278C" w:rsidRDefault="00CB507F" w:rsidP="0064278C">
      <w:pPr>
        <w:shd w:val="clear" w:color="auto" w:fill="FFFFFF"/>
        <w:spacing w:after="150" w:line="240" w:lineRule="auto"/>
        <w:rPr>
          <w:rFonts w:cs="Arial"/>
          <w:color w:val="494949"/>
          <w:sz w:val="20"/>
          <w:szCs w:val="20"/>
          <w:lang w:eastAsia="tr-TR"/>
        </w:rPr>
      </w:pPr>
      <w:r w:rsidRPr="0064278C">
        <w:rPr>
          <w:rFonts w:cs="Arial"/>
          <w:color w:val="494949"/>
          <w:sz w:val="20"/>
          <w:szCs w:val="20"/>
          <w:lang w:eastAsia="tr-TR"/>
        </w:rPr>
        <w:t>            İlgide kayıtlı özelge talep formunda;sitenizde yönetim ve denetim kurullarında üye olarak görev yapan kişilerin bir kısmının kat maliki olması, bazılarının eşl</w:t>
      </w:r>
      <w:r w:rsidRPr="0064278C">
        <w:rPr>
          <w:rFonts w:cs="Arial"/>
          <w:color w:val="494949"/>
          <w:sz w:val="20"/>
          <w:szCs w:val="20"/>
          <w:lang w:eastAsia="tr-TR"/>
        </w:rPr>
        <w:t>e</w:t>
      </w:r>
      <w:r w:rsidRPr="0064278C">
        <w:rPr>
          <w:rFonts w:cs="Arial"/>
          <w:color w:val="494949"/>
          <w:sz w:val="20"/>
          <w:szCs w:val="20"/>
          <w:lang w:eastAsia="tr-TR"/>
        </w:rPr>
        <w:t>rinin kat maliki olması, bir kısmının ise kat maliki olmasına karşın yönetime seçildikleri sitede ikamet etmemesi durumunda bu kişilere ödenen ücretten gelir vergisi kesintisi yapılıp yapılmayacağı hususunda Başkanlığımız görüşünün bildirilmesi istenilmektedir.</w:t>
      </w:r>
    </w:p>
    <w:p w:rsidR="00CB507F" w:rsidRPr="0064278C" w:rsidRDefault="00CB507F" w:rsidP="0064278C">
      <w:pPr>
        <w:shd w:val="clear" w:color="auto" w:fill="FFFFFF"/>
        <w:spacing w:after="150" w:line="240" w:lineRule="auto"/>
        <w:rPr>
          <w:rFonts w:cs="Arial"/>
          <w:color w:val="494949"/>
          <w:sz w:val="20"/>
          <w:szCs w:val="20"/>
          <w:lang w:eastAsia="tr-TR"/>
        </w:rPr>
      </w:pPr>
      <w:r w:rsidRPr="0064278C">
        <w:rPr>
          <w:rFonts w:cs="Arial"/>
          <w:color w:val="494949"/>
          <w:sz w:val="20"/>
          <w:szCs w:val="20"/>
          <w:lang w:eastAsia="tr-TR"/>
        </w:rPr>
        <w:t>            193 sayılı Gelir Vergisi Kanunu'nun 61'inci maddesinde; "Ücret, işverene tabi ve belirli bir işyerine bağlı olarak çalışanlara hizmet karşılığı verilen para ve ayınlar ile sağlanan ve para ile temsil edilebilen menfaatlerdir.</w:t>
      </w:r>
    </w:p>
    <w:p w:rsidR="00CB507F" w:rsidRPr="0064278C" w:rsidRDefault="00CB507F" w:rsidP="0064278C">
      <w:pPr>
        <w:shd w:val="clear" w:color="auto" w:fill="FFFFFF"/>
        <w:spacing w:after="150" w:line="240" w:lineRule="auto"/>
        <w:rPr>
          <w:rFonts w:cs="Arial"/>
          <w:color w:val="494949"/>
          <w:sz w:val="20"/>
          <w:szCs w:val="20"/>
          <w:lang w:eastAsia="tr-TR"/>
        </w:rPr>
      </w:pPr>
      <w:r w:rsidRPr="0064278C">
        <w:rPr>
          <w:rFonts w:cs="Arial"/>
          <w:color w:val="494949"/>
          <w:sz w:val="20"/>
          <w:szCs w:val="20"/>
          <w:lang w:eastAsia="tr-TR"/>
        </w:rPr>
        <w:t>            Ücretin ödenek, tazminat, kasa tazminatı (Mali sorumluluk tazminatı), tahsisat, zam, avans, aidat, </w:t>
      </w:r>
      <w:r w:rsidRPr="0064278C">
        <w:rPr>
          <w:rFonts w:cs="Arial"/>
          <w:color w:val="494949"/>
          <w:sz w:val="20"/>
          <w:szCs w:val="20"/>
          <w:u w:val="single"/>
          <w:lang w:eastAsia="tr-TR"/>
        </w:rPr>
        <w:t>huzur hakkı</w:t>
      </w:r>
      <w:r w:rsidRPr="0064278C">
        <w:rPr>
          <w:rFonts w:cs="Arial"/>
          <w:color w:val="494949"/>
          <w:sz w:val="20"/>
          <w:szCs w:val="20"/>
          <w:lang w:eastAsia="tr-TR"/>
        </w:rPr>
        <w:t>, prim, ikramiye, gider karşılığı veya başka adlar altında ödenmiş olması veya bir ortaklık münasebeti niteliğinde olmamak şartı ile kazancın belli bir yüzdesi şeklinde  tayin edilmişbulunması onun mahiyetini deği</w:t>
      </w:r>
      <w:r w:rsidRPr="0064278C">
        <w:rPr>
          <w:rFonts w:cs="Arial"/>
          <w:color w:val="494949"/>
          <w:sz w:val="20"/>
          <w:szCs w:val="20"/>
          <w:lang w:eastAsia="tr-TR"/>
        </w:rPr>
        <w:t>ş</w:t>
      </w:r>
      <w:r w:rsidRPr="0064278C">
        <w:rPr>
          <w:rFonts w:cs="Arial"/>
          <w:color w:val="494949"/>
          <w:sz w:val="20"/>
          <w:szCs w:val="20"/>
          <w:lang w:eastAsia="tr-TR"/>
        </w:rPr>
        <w:t>tirmez." hükmü yer almış olup, aynı maddenin 4'üncü bendinde ise; </w:t>
      </w:r>
      <w:r w:rsidRPr="0064278C">
        <w:rPr>
          <w:rFonts w:cs="Arial"/>
          <w:color w:val="494949"/>
          <w:sz w:val="20"/>
          <w:szCs w:val="20"/>
          <w:u w:val="single"/>
          <w:lang w:eastAsia="tr-TR"/>
        </w:rPr>
        <w:t>Yönetim ve denetim kurulları başkanı ve üyeleriyle</w:t>
      </w:r>
      <w:r w:rsidRPr="0064278C">
        <w:rPr>
          <w:rFonts w:cs="Arial"/>
          <w:color w:val="494949"/>
          <w:sz w:val="20"/>
          <w:szCs w:val="20"/>
          <w:lang w:eastAsia="tr-TR"/>
        </w:rPr>
        <w:t> tasfiye memurlarına bu sıfatları dolayısıyla ödenen veya sağlanan para, ayın ve menfaatlerin de ücret olarak vergilendirileceği hüküm altına alınmıştır.</w:t>
      </w:r>
    </w:p>
    <w:p w:rsidR="00CB507F" w:rsidRPr="0064278C" w:rsidRDefault="00CB507F" w:rsidP="0064278C">
      <w:pPr>
        <w:shd w:val="clear" w:color="auto" w:fill="FFFFFF"/>
        <w:spacing w:after="150" w:line="240" w:lineRule="auto"/>
        <w:rPr>
          <w:rFonts w:cs="Arial"/>
          <w:color w:val="494949"/>
          <w:sz w:val="20"/>
          <w:szCs w:val="20"/>
          <w:lang w:eastAsia="tr-TR"/>
        </w:rPr>
      </w:pPr>
      <w:r w:rsidRPr="0064278C">
        <w:rPr>
          <w:rFonts w:cs="Arial"/>
          <w:color w:val="494949"/>
          <w:sz w:val="20"/>
          <w:szCs w:val="20"/>
          <w:lang w:eastAsia="tr-TR"/>
        </w:rPr>
        <w:t>            Diğer taraftan, 634 sayılı Kat Mülkiyeti Kanunu'nun "</w:t>
      </w:r>
      <w:r w:rsidRPr="0064278C">
        <w:rPr>
          <w:rFonts w:cs="Arial"/>
          <w:b/>
          <w:bCs/>
          <w:color w:val="494949"/>
          <w:sz w:val="20"/>
          <w:szCs w:val="20"/>
          <w:lang w:eastAsia="tr-TR"/>
        </w:rPr>
        <w:t> </w:t>
      </w:r>
      <w:r w:rsidRPr="0064278C">
        <w:rPr>
          <w:rFonts w:cs="Arial"/>
          <w:color w:val="494949"/>
          <w:sz w:val="20"/>
          <w:szCs w:val="20"/>
          <w:lang w:eastAsia="tr-TR"/>
        </w:rPr>
        <w:t>Tarifler "</w:t>
      </w:r>
      <w:r w:rsidRPr="0064278C">
        <w:rPr>
          <w:rFonts w:cs="Arial"/>
          <w:b/>
          <w:bCs/>
          <w:color w:val="494949"/>
          <w:sz w:val="20"/>
          <w:szCs w:val="20"/>
          <w:lang w:eastAsia="tr-TR"/>
        </w:rPr>
        <w:t> </w:t>
      </w:r>
      <w:r w:rsidRPr="0064278C">
        <w:rPr>
          <w:rFonts w:cs="Arial"/>
          <w:color w:val="494949"/>
          <w:sz w:val="20"/>
          <w:szCs w:val="20"/>
          <w:lang w:eastAsia="tr-TR"/>
        </w:rPr>
        <w:t> başlıklı 2'nci maddesinin a bendinde; "...bağımsız bölümler üzerinde kurulan mülkiyet hakkına (Kat mülkiyeti) ve bu hakka sahip olanlara (Kat maliki)" denileceği hüküm altına alınmıştır.</w:t>
      </w:r>
    </w:p>
    <w:p w:rsidR="00CB507F" w:rsidRPr="0064278C" w:rsidRDefault="00CB507F" w:rsidP="0064278C">
      <w:pPr>
        <w:shd w:val="clear" w:color="auto" w:fill="FFFFFF"/>
        <w:spacing w:after="150" w:line="240" w:lineRule="auto"/>
        <w:rPr>
          <w:rFonts w:cs="Arial"/>
          <w:color w:val="494949"/>
          <w:sz w:val="20"/>
          <w:szCs w:val="20"/>
          <w:lang w:eastAsia="tr-TR"/>
        </w:rPr>
      </w:pPr>
      <w:r w:rsidRPr="0064278C">
        <w:rPr>
          <w:rFonts w:cs="Arial"/>
          <w:color w:val="494949"/>
          <w:sz w:val="20"/>
          <w:szCs w:val="20"/>
          <w:lang w:eastAsia="tr-TR"/>
        </w:rPr>
        <w:t>            Aynı Kanunun 34'üncü maddesinde yönetici tarif edildikten sonra, 35-38'inci maddelerinde bunların görevleri ve sorumlulukları belirtilmiş; 40'ıncı maddesinde ise "...Yönetici, yönetim planında veya kendisiyle yapılan sözleşmede bir ücret tayin edilmemiş olsa bile, kat maliklerinden uygun bir ücret isteyebilir.</w:t>
      </w:r>
    </w:p>
    <w:p w:rsidR="00CB507F" w:rsidRPr="0064278C" w:rsidRDefault="00CB507F" w:rsidP="0064278C">
      <w:pPr>
        <w:shd w:val="clear" w:color="auto" w:fill="FFFFFF"/>
        <w:spacing w:after="150" w:line="240" w:lineRule="auto"/>
        <w:rPr>
          <w:rFonts w:cs="Arial"/>
          <w:color w:val="494949"/>
          <w:sz w:val="20"/>
          <w:szCs w:val="20"/>
          <w:lang w:eastAsia="tr-TR"/>
        </w:rPr>
      </w:pPr>
      <w:r w:rsidRPr="0064278C">
        <w:rPr>
          <w:rFonts w:cs="Arial"/>
          <w:color w:val="494949"/>
          <w:sz w:val="20"/>
          <w:szCs w:val="20"/>
          <w:lang w:eastAsia="tr-TR"/>
        </w:rPr>
        <w:t>            Kat malikleri kurulu, kat malikleri arasından atanmış  yöneticinin normal yönetim giderlerine katılıp katılmayacağı, katılacaksa, ne oranda katılacağını kara</w:t>
      </w:r>
      <w:r w:rsidRPr="0064278C">
        <w:rPr>
          <w:rFonts w:cs="Arial"/>
          <w:color w:val="494949"/>
          <w:sz w:val="20"/>
          <w:szCs w:val="20"/>
          <w:lang w:eastAsia="tr-TR"/>
        </w:rPr>
        <w:t>r</w:t>
      </w:r>
      <w:r w:rsidRPr="0064278C">
        <w:rPr>
          <w:rFonts w:cs="Arial"/>
          <w:color w:val="494949"/>
          <w:sz w:val="20"/>
          <w:szCs w:val="20"/>
          <w:lang w:eastAsia="tr-TR"/>
        </w:rPr>
        <w:t>laştırır. Bu yolda, bir karar alınmamış ise, yönetici yönetim süresince kendisine düşen normal yönetim giderlerinin yarısına katılmaz." hükmü yer almıştır.</w:t>
      </w:r>
    </w:p>
    <w:p w:rsidR="00CB507F" w:rsidRPr="0064278C" w:rsidRDefault="00CB507F" w:rsidP="0064278C">
      <w:pPr>
        <w:shd w:val="clear" w:color="auto" w:fill="FFFFFF"/>
        <w:spacing w:after="150" w:line="240" w:lineRule="auto"/>
        <w:rPr>
          <w:rFonts w:cs="Arial"/>
          <w:color w:val="494949"/>
          <w:sz w:val="20"/>
          <w:szCs w:val="20"/>
          <w:lang w:eastAsia="tr-TR"/>
        </w:rPr>
      </w:pPr>
      <w:r w:rsidRPr="0064278C">
        <w:rPr>
          <w:rFonts w:cs="Arial"/>
          <w:color w:val="494949"/>
          <w:sz w:val="20"/>
          <w:szCs w:val="20"/>
          <w:lang w:eastAsia="tr-TR"/>
        </w:rPr>
        <w:t>            Öte yandan,  Gelir Vergisi Kanununun 94'üncü maddesinin birinci fıkrasında; "Kamu idare ve müesseseleri, iktisadi kamu müesseseleri, sair kurumlar, ticaret şirketleri, iş ortaklıkları, dernekler, vakıflar, dernek ve vakıfların iktisadi işletmeleri, kooperatifler, yatırım fonu yönetenler, gerçek gelirlerini beyan etmeye mecbur olan ticaret ve serbest meslek erbabı, zirai kazançlarını bilanço veya zirai işletme hesabı esasına göre tespit eden çiftçiler aşağıdaki bentlerde sayılan ödemeleri (avans olarak ödenenler dahil) nakden veya hesaben yaptıkları sırada, istihkak sahiplerinin gelir vergilerine mahsuben tevkifat yapmaya mecburdurlar." hükmü yer almış olup,  aynı fıkranın 1'inci bendinde ise; hizmet erbabına ödenen ücretler ile 61'inci maddede yazılı olup ücret sayılan ödemelerden (istisnadan faydalananlar hariç) 103 ve 104'üncü maddelere göre gelir vergisi tevkifatı yapılacağı hüküm altına alınmıştır.</w:t>
      </w:r>
    </w:p>
    <w:p w:rsidR="00CB507F" w:rsidRPr="0064278C" w:rsidRDefault="00CB507F" w:rsidP="0064278C">
      <w:pPr>
        <w:shd w:val="clear" w:color="auto" w:fill="FFFFFF"/>
        <w:spacing w:after="150" w:line="240" w:lineRule="auto"/>
        <w:rPr>
          <w:rFonts w:cs="Arial"/>
          <w:color w:val="494949"/>
          <w:sz w:val="20"/>
          <w:szCs w:val="20"/>
          <w:lang w:eastAsia="tr-TR"/>
        </w:rPr>
      </w:pPr>
      <w:r w:rsidRPr="0064278C">
        <w:rPr>
          <w:rFonts w:cs="Arial"/>
          <w:color w:val="494949"/>
          <w:sz w:val="20"/>
          <w:szCs w:val="20"/>
          <w:lang w:eastAsia="tr-TR"/>
        </w:rPr>
        <w:t>            Buna göre, tevkifat uygulamasında  "sair  kurum" olarak değerlendirilen site yöneticiliklerine kat malikleri arasından seçilen yönetici ve denetçilere (sitenizde yönetim ve denetim kurulu üyesi olarak görev yapan ancak oturdukları daireleri eşlerinin adına kayıtlı bulunan kişiler de kat maliki sayılacağından bu kişiler ile kendisi veya eşi kat maliki olup farklı sitede ikamet edenlere yapılan ödemeler de dahil) yönetim giderlerine katılmama oranında yapılan ödemeler, gerçek ücret olarak kabul edilmemekte ve gelir vergisi tevkifatına tabi tutulmamaktadır. Bu kişilere yönetim giderlerinin üzerinde bir ödeme yapılması durumunda ise fazla kısmın ücret olarak vergilendirilmesi gerektiğinden bu tutar üzerinden gelir vergisi tevkifatı yapılacağı tabiidir.</w:t>
      </w:r>
    </w:p>
    <w:p w:rsidR="00CB507F" w:rsidRPr="0064278C" w:rsidRDefault="00CB507F" w:rsidP="0064278C">
      <w:pPr>
        <w:shd w:val="clear" w:color="auto" w:fill="FFFFFF"/>
        <w:spacing w:after="150" w:line="240" w:lineRule="auto"/>
        <w:rPr>
          <w:rFonts w:cs="Arial"/>
          <w:color w:val="494949"/>
          <w:sz w:val="20"/>
          <w:szCs w:val="20"/>
          <w:lang w:eastAsia="tr-TR"/>
        </w:rPr>
      </w:pPr>
      <w:r w:rsidRPr="0064278C">
        <w:rPr>
          <w:rFonts w:cs="Arial"/>
          <w:color w:val="494949"/>
          <w:sz w:val="20"/>
          <w:szCs w:val="20"/>
          <w:lang w:eastAsia="tr-TR"/>
        </w:rPr>
        <w:t>            Ancak, kat malikleri dışından yönetici ve denetçi seçilmesi halinde ise, bu kişilere yapılan ödemelerden Gelir Vergisi Kanununun 61, 94, 103 ve 104'üncü maddelerine göre gelir vergisi tevkifatı yapılması gerekmektedir.</w:t>
      </w:r>
    </w:p>
    <w:p w:rsidR="00CB507F" w:rsidRPr="0064278C" w:rsidRDefault="00CB507F" w:rsidP="0064278C">
      <w:pPr>
        <w:shd w:val="clear" w:color="auto" w:fill="FFFFFF"/>
        <w:spacing w:after="150" w:line="240" w:lineRule="auto"/>
        <w:rPr>
          <w:rFonts w:cs="Arial"/>
          <w:color w:val="494949"/>
          <w:sz w:val="20"/>
          <w:szCs w:val="20"/>
          <w:lang w:eastAsia="tr-TR"/>
        </w:rPr>
      </w:pPr>
      <w:r w:rsidRPr="0064278C">
        <w:rPr>
          <w:rFonts w:cs="Arial"/>
          <w:color w:val="494949"/>
          <w:sz w:val="20"/>
          <w:szCs w:val="20"/>
          <w:lang w:eastAsia="tr-TR"/>
        </w:rPr>
        <w:t>            Bilgi edinilmesini rica ederim.</w:t>
      </w:r>
    </w:p>
    <w:p w:rsidR="00CB507F" w:rsidRDefault="00CB507F"/>
    <w:sectPr w:rsidR="00CB507F" w:rsidSect="00516B7C">
      <w:pgSz w:w="16838" w:h="11906" w:orient="landscape"/>
      <w:pgMar w:top="1276" w:right="82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71A7"/>
    <w:multiLevelType w:val="hybridMultilevel"/>
    <w:tmpl w:val="0C183534"/>
    <w:lvl w:ilvl="0" w:tplc="3F6A279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B4E54F3"/>
    <w:multiLevelType w:val="hybridMultilevel"/>
    <w:tmpl w:val="51F8116A"/>
    <w:lvl w:ilvl="0" w:tplc="EAEA9AF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5325A46"/>
    <w:multiLevelType w:val="hybridMultilevel"/>
    <w:tmpl w:val="F60CDFA2"/>
    <w:lvl w:ilvl="0" w:tplc="3FAAAF76">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24A62AA0"/>
    <w:multiLevelType w:val="multilevel"/>
    <w:tmpl w:val="1354DD44"/>
    <w:lvl w:ilvl="0">
      <w:start w:val="1"/>
      <w:numFmt w:val="decimal"/>
      <w:lvlText w:val="%1"/>
      <w:lvlJc w:val="left"/>
      <w:pPr>
        <w:ind w:left="540" w:hanging="54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4260" w:hanging="144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4">
    <w:nsid w:val="3F403606"/>
    <w:multiLevelType w:val="hybridMultilevel"/>
    <w:tmpl w:val="B00EBE74"/>
    <w:lvl w:ilvl="0" w:tplc="0DF6FD40">
      <w:start w:val="1"/>
      <w:numFmt w:val="decimal"/>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D4E6E17"/>
    <w:multiLevelType w:val="hybridMultilevel"/>
    <w:tmpl w:val="A31E280C"/>
    <w:lvl w:ilvl="0" w:tplc="E98400A2">
      <w:start w:val="1"/>
      <w:numFmt w:val="decimal"/>
      <w:lvlText w:val="(%1)"/>
      <w:lvlJc w:val="left"/>
      <w:pPr>
        <w:ind w:left="495" w:hanging="360"/>
      </w:pPr>
      <w:rPr>
        <w:rFonts w:cs="Times New Roman" w:hint="default"/>
      </w:rPr>
    </w:lvl>
    <w:lvl w:ilvl="1" w:tplc="041F0019" w:tentative="1">
      <w:start w:val="1"/>
      <w:numFmt w:val="lowerLetter"/>
      <w:lvlText w:val="%2."/>
      <w:lvlJc w:val="left"/>
      <w:pPr>
        <w:ind w:left="1215" w:hanging="360"/>
      </w:pPr>
      <w:rPr>
        <w:rFonts w:cs="Times New Roman"/>
      </w:rPr>
    </w:lvl>
    <w:lvl w:ilvl="2" w:tplc="041F001B" w:tentative="1">
      <w:start w:val="1"/>
      <w:numFmt w:val="lowerRoman"/>
      <w:lvlText w:val="%3."/>
      <w:lvlJc w:val="right"/>
      <w:pPr>
        <w:ind w:left="1935" w:hanging="180"/>
      </w:pPr>
      <w:rPr>
        <w:rFonts w:cs="Times New Roman"/>
      </w:rPr>
    </w:lvl>
    <w:lvl w:ilvl="3" w:tplc="041F000F" w:tentative="1">
      <w:start w:val="1"/>
      <w:numFmt w:val="decimal"/>
      <w:lvlText w:val="%4."/>
      <w:lvlJc w:val="left"/>
      <w:pPr>
        <w:ind w:left="2655" w:hanging="360"/>
      </w:pPr>
      <w:rPr>
        <w:rFonts w:cs="Times New Roman"/>
      </w:rPr>
    </w:lvl>
    <w:lvl w:ilvl="4" w:tplc="041F0019" w:tentative="1">
      <w:start w:val="1"/>
      <w:numFmt w:val="lowerLetter"/>
      <w:lvlText w:val="%5."/>
      <w:lvlJc w:val="left"/>
      <w:pPr>
        <w:ind w:left="3375" w:hanging="360"/>
      </w:pPr>
      <w:rPr>
        <w:rFonts w:cs="Times New Roman"/>
      </w:rPr>
    </w:lvl>
    <w:lvl w:ilvl="5" w:tplc="041F001B" w:tentative="1">
      <w:start w:val="1"/>
      <w:numFmt w:val="lowerRoman"/>
      <w:lvlText w:val="%6."/>
      <w:lvlJc w:val="right"/>
      <w:pPr>
        <w:ind w:left="4095" w:hanging="180"/>
      </w:pPr>
      <w:rPr>
        <w:rFonts w:cs="Times New Roman"/>
      </w:rPr>
    </w:lvl>
    <w:lvl w:ilvl="6" w:tplc="041F000F" w:tentative="1">
      <w:start w:val="1"/>
      <w:numFmt w:val="decimal"/>
      <w:lvlText w:val="%7."/>
      <w:lvlJc w:val="left"/>
      <w:pPr>
        <w:ind w:left="4815" w:hanging="360"/>
      </w:pPr>
      <w:rPr>
        <w:rFonts w:cs="Times New Roman"/>
      </w:rPr>
    </w:lvl>
    <w:lvl w:ilvl="7" w:tplc="041F0019" w:tentative="1">
      <w:start w:val="1"/>
      <w:numFmt w:val="lowerLetter"/>
      <w:lvlText w:val="%8."/>
      <w:lvlJc w:val="left"/>
      <w:pPr>
        <w:ind w:left="5535" w:hanging="360"/>
      </w:pPr>
      <w:rPr>
        <w:rFonts w:cs="Times New Roman"/>
      </w:rPr>
    </w:lvl>
    <w:lvl w:ilvl="8" w:tplc="041F001B" w:tentative="1">
      <w:start w:val="1"/>
      <w:numFmt w:val="lowerRoman"/>
      <w:lvlText w:val="%9."/>
      <w:lvlJc w:val="right"/>
      <w:pPr>
        <w:ind w:left="6255" w:hanging="180"/>
      </w:pPr>
      <w:rPr>
        <w:rFonts w:cs="Times New Roman"/>
      </w:rPr>
    </w:lvl>
  </w:abstractNum>
  <w:abstractNum w:abstractNumId="6">
    <w:nsid w:val="670870F7"/>
    <w:multiLevelType w:val="hybridMultilevel"/>
    <w:tmpl w:val="74A4455E"/>
    <w:lvl w:ilvl="0" w:tplc="2AF8B3AC">
      <w:start w:val="3"/>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B932416"/>
    <w:multiLevelType w:val="hybridMultilevel"/>
    <w:tmpl w:val="AB66EAEE"/>
    <w:lvl w:ilvl="0" w:tplc="1F9C090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259"/>
    <w:rsid w:val="00000F81"/>
    <w:rsid w:val="00011259"/>
    <w:rsid w:val="00055DA3"/>
    <w:rsid w:val="00060415"/>
    <w:rsid w:val="000623F9"/>
    <w:rsid w:val="00074C2D"/>
    <w:rsid w:val="000870EB"/>
    <w:rsid w:val="000A1C3C"/>
    <w:rsid w:val="000D2239"/>
    <w:rsid w:val="000F63A1"/>
    <w:rsid w:val="00107EBE"/>
    <w:rsid w:val="00132B2A"/>
    <w:rsid w:val="00136447"/>
    <w:rsid w:val="001A65B1"/>
    <w:rsid w:val="001A686C"/>
    <w:rsid w:val="00214408"/>
    <w:rsid w:val="002245A0"/>
    <w:rsid w:val="00287326"/>
    <w:rsid w:val="002933B2"/>
    <w:rsid w:val="002B4D3B"/>
    <w:rsid w:val="00315B5A"/>
    <w:rsid w:val="0033007E"/>
    <w:rsid w:val="0033228E"/>
    <w:rsid w:val="00341A8C"/>
    <w:rsid w:val="0034755D"/>
    <w:rsid w:val="00361F52"/>
    <w:rsid w:val="00371811"/>
    <w:rsid w:val="003911BE"/>
    <w:rsid w:val="003C42D6"/>
    <w:rsid w:val="003D3CDB"/>
    <w:rsid w:val="003F463B"/>
    <w:rsid w:val="004051E2"/>
    <w:rsid w:val="00474371"/>
    <w:rsid w:val="004B5FA9"/>
    <w:rsid w:val="004C22D3"/>
    <w:rsid w:val="004D1BC6"/>
    <w:rsid w:val="004D669A"/>
    <w:rsid w:val="00503A55"/>
    <w:rsid w:val="00516B7C"/>
    <w:rsid w:val="00533F80"/>
    <w:rsid w:val="00562BC3"/>
    <w:rsid w:val="005A184D"/>
    <w:rsid w:val="005A56F3"/>
    <w:rsid w:val="005F1011"/>
    <w:rsid w:val="00620FE9"/>
    <w:rsid w:val="0064278C"/>
    <w:rsid w:val="00653D18"/>
    <w:rsid w:val="00722340"/>
    <w:rsid w:val="00733DF0"/>
    <w:rsid w:val="007B4D00"/>
    <w:rsid w:val="007C4D94"/>
    <w:rsid w:val="007D5055"/>
    <w:rsid w:val="007E35F0"/>
    <w:rsid w:val="007E3C3C"/>
    <w:rsid w:val="007E6B4A"/>
    <w:rsid w:val="00813FF7"/>
    <w:rsid w:val="0081725A"/>
    <w:rsid w:val="0086049B"/>
    <w:rsid w:val="00877B30"/>
    <w:rsid w:val="008C3F6D"/>
    <w:rsid w:val="009318B4"/>
    <w:rsid w:val="00971EF8"/>
    <w:rsid w:val="00977FE5"/>
    <w:rsid w:val="00983399"/>
    <w:rsid w:val="009C361E"/>
    <w:rsid w:val="009D3F44"/>
    <w:rsid w:val="00A003A5"/>
    <w:rsid w:val="00A042C0"/>
    <w:rsid w:val="00A0464F"/>
    <w:rsid w:val="00A14CFD"/>
    <w:rsid w:val="00A41CA5"/>
    <w:rsid w:val="00A875A7"/>
    <w:rsid w:val="00A93F7D"/>
    <w:rsid w:val="00AC1851"/>
    <w:rsid w:val="00AD6CF7"/>
    <w:rsid w:val="00B10D76"/>
    <w:rsid w:val="00B263B2"/>
    <w:rsid w:val="00B500F1"/>
    <w:rsid w:val="00B612A8"/>
    <w:rsid w:val="00B73EEB"/>
    <w:rsid w:val="00BC4A6F"/>
    <w:rsid w:val="00BE0496"/>
    <w:rsid w:val="00C12B44"/>
    <w:rsid w:val="00C53B9B"/>
    <w:rsid w:val="00C76F6D"/>
    <w:rsid w:val="00C8057C"/>
    <w:rsid w:val="00C80BF1"/>
    <w:rsid w:val="00CB507F"/>
    <w:rsid w:val="00CD429A"/>
    <w:rsid w:val="00CE419C"/>
    <w:rsid w:val="00CF6ACB"/>
    <w:rsid w:val="00D00647"/>
    <w:rsid w:val="00D00A49"/>
    <w:rsid w:val="00D01F55"/>
    <w:rsid w:val="00D02982"/>
    <w:rsid w:val="00D53932"/>
    <w:rsid w:val="00D56F90"/>
    <w:rsid w:val="00D83240"/>
    <w:rsid w:val="00DA5CF2"/>
    <w:rsid w:val="00DF25B4"/>
    <w:rsid w:val="00DF4356"/>
    <w:rsid w:val="00E155DE"/>
    <w:rsid w:val="00E17AD5"/>
    <w:rsid w:val="00E3311A"/>
    <w:rsid w:val="00E35615"/>
    <w:rsid w:val="00E52415"/>
    <w:rsid w:val="00E72CC8"/>
    <w:rsid w:val="00E730A4"/>
    <w:rsid w:val="00E80BF1"/>
    <w:rsid w:val="00E87684"/>
    <w:rsid w:val="00E92090"/>
    <w:rsid w:val="00EE4392"/>
    <w:rsid w:val="00F531AB"/>
    <w:rsid w:val="00FA4277"/>
    <w:rsid w:val="00FF294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1E2"/>
    <w:pPr>
      <w:spacing w:after="200" w:line="276"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3CDB"/>
    <w:pPr>
      <w:ind w:left="720"/>
      <w:contextualSpacing/>
    </w:pPr>
  </w:style>
  <w:style w:type="paragraph" w:styleId="NormalWeb">
    <w:name w:val="Normal (Web)"/>
    <w:basedOn w:val="Normal"/>
    <w:uiPriority w:val="99"/>
    <w:semiHidden/>
    <w:rsid w:val="004B5FA9"/>
    <w:pPr>
      <w:spacing w:before="100" w:beforeAutospacing="1" w:after="100" w:afterAutospacing="1" w:line="240" w:lineRule="auto"/>
    </w:pPr>
    <w:rPr>
      <w:rFonts w:ascii="Times New Roman" w:eastAsia="Times New Roman" w:hAnsi="Times New Roman"/>
      <w:szCs w:val="24"/>
      <w:lang w:eastAsia="tr-TR"/>
    </w:rPr>
  </w:style>
</w:styles>
</file>

<file path=word/webSettings.xml><?xml version="1.0" encoding="utf-8"?>
<w:webSettings xmlns:r="http://schemas.openxmlformats.org/officeDocument/2006/relationships" xmlns:w="http://schemas.openxmlformats.org/wordprocessingml/2006/main">
  <w:divs>
    <w:div w:id="868756757">
      <w:marLeft w:val="0"/>
      <w:marRight w:val="0"/>
      <w:marTop w:val="0"/>
      <w:marBottom w:val="0"/>
      <w:divBdr>
        <w:top w:val="none" w:sz="0" w:space="0" w:color="auto"/>
        <w:left w:val="none" w:sz="0" w:space="0" w:color="auto"/>
        <w:bottom w:val="none" w:sz="0" w:space="0" w:color="auto"/>
        <w:right w:val="none" w:sz="0" w:space="0" w:color="auto"/>
      </w:divBdr>
    </w:div>
    <w:div w:id="868756760">
      <w:marLeft w:val="0"/>
      <w:marRight w:val="0"/>
      <w:marTop w:val="0"/>
      <w:marBottom w:val="0"/>
      <w:divBdr>
        <w:top w:val="none" w:sz="0" w:space="0" w:color="auto"/>
        <w:left w:val="none" w:sz="0" w:space="0" w:color="auto"/>
        <w:bottom w:val="none" w:sz="0" w:space="0" w:color="auto"/>
        <w:right w:val="none" w:sz="0" w:space="0" w:color="auto"/>
      </w:divBdr>
    </w:div>
    <w:div w:id="868756761">
      <w:marLeft w:val="0"/>
      <w:marRight w:val="0"/>
      <w:marTop w:val="0"/>
      <w:marBottom w:val="0"/>
      <w:divBdr>
        <w:top w:val="none" w:sz="0" w:space="0" w:color="auto"/>
        <w:left w:val="none" w:sz="0" w:space="0" w:color="auto"/>
        <w:bottom w:val="none" w:sz="0" w:space="0" w:color="auto"/>
        <w:right w:val="none" w:sz="0" w:space="0" w:color="auto"/>
      </w:divBdr>
    </w:div>
    <w:div w:id="868756769">
      <w:marLeft w:val="0"/>
      <w:marRight w:val="0"/>
      <w:marTop w:val="0"/>
      <w:marBottom w:val="0"/>
      <w:divBdr>
        <w:top w:val="none" w:sz="0" w:space="0" w:color="auto"/>
        <w:left w:val="none" w:sz="0" w:space="0" w:color="auto"/>
        <w:bottom w:val="none" w:sz="0" w:space="0" w:color="auto"/>
        <w:right w:val="none" w:sz="0" w:space="0" w:color="auto"/>
      </w:divBdr>
      <w:divsChild>
        <w:div w:id="868756758">
          <w:marLeft w:val="0"/>
          <w:marRight w:val="0"/>
          <w:marTop w:val="0"/>
          <w:marBottom w:val="300"/>
          <w:divBdr>
            <w:top w:val="none" w:sz="0" w:space="0" w:color="auto"/>
            <w:left w:val="none" w:sz="0" w:space="0" w:color="auto"/>
            <w:bottom w:val="none" w:sz="0" w:space="0" w:color="auto"/>
            <w:right w:val="none" w:sz="0" w:space="0" w:color="auto"/>
          </w:divBdr>
          <w:divsChild>
            <w:div w:id="868756763">
              <w:marLeft w:val="0"/>
              <w:marRight w:val="0"/>
              <w:marTop w:val="0"/>
              <w:marBottom w:val="0"/>
              <w:divBdr>
                <w:top w:val="none" w:sz="0" w:space="0" w:color="auto"/>
                <w:left w:val="none" w:sz="0" w:space="0" w:color="auto"/>
                <w:bottom w:val="none" w:sz="0" w:space="0" w:color="auto"/>
                <w:right w:val="none" w:sz="0" w:space="0" w:color="auto"/>
              </w:divBdr>
              <w:divsChild>
                <w:div w:id="868756762">
                  <w:marLeft w:val="0"/>
                  <w:marRight w:val="0"/>
                  <w:marTop w:val="0"/>
                  <w:marBottom w:val="0"/>
                  <w:divBdr>
                    <w:top w:val="none" w:sz="0" w:space="0" w:color="auto"/>
                    <w:left w:val="none" w:sz="0" w:space="0" w:color="auto"/>
                    <w:bottom w:val="none" w:sz="0" w:space="0" w:color="auto"/>
                    <w:right w:val="none" w:sz="0" w:space="0" w:color="auto"/>
                  </w:divBdr>
                </w:div>
                <w:div w:id="868756767">
                  <w:marLeft w:val="0"/>
                  <w:marRight w:val="0"/>
                  <w:marTop w:val="0"/>
                  <w:marBottom w:val="0"/>
                  <w:divBdr>
                    <w:top w:val="none" w:sz="0" w:space="0" w:color="auto"/>
                    <w:left w:val="none" w:sz="0" w:space="0" w:color="auto"/>
                    <w:bottom w:val="none" w:sz="0" w:space="0" w:color="auto"/>
                    <w:right w:val="none" w:sz="0" w:space="0" w:color="auto"/>
                  </w:divBdr>
                  <w:divsChild>
                    <w:div w:id="8687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6771">
              <w:marLeft w:val="0"/>
              <w:marRight w:val="0"/>
              <w:marTop w:val="0"/>
              <w:marBottom w:val="0"/>
              <w:divBdr>
                <w:top w:val="none" w:sz="0" w:space="0" w:color="auto"/>
                <w:left w:val="none" w:sz="0" w:space="0" w:color="auto"/>
                <w:bottom w:val="none" w:sz="0" w:space="0" w:color="auto"/>
                <w:right w:val="none" w:sz="0" w:space="0" w:color="auto"/>
              </w:divBdr>
              <w:divsChild>
                <w:div w:id="868756766">
                  <w:marLeft w:val="0"/>
                  <w:marRight w:val="0"/>
                  <w:marTop w:val="0"/>
                  <w:marBottom w:val="0"/>
                  <w:divBdr>
                    <w:top w:val="none" w:sz="0" w:space="0" w:color="auto"/>
                    <w:left w:val="none" w:sz="0" w:space="0" w:color="auto"/>
                    <w:bottom w:val="none" w:sz="0" w:space="0" w:color="auto"/>
                    <w:right w:val="none" w:sz="0" w:space="0" w:color="auto"/>
                  </w:divBdr>
                  <w:divsChild>
                    <w:div w:id="8687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56759">
          <w:marLeft w:val="0"/>
          <w:marRight w:val="0"/>
          <w:marTop w:val="0"/>
          <w:marBottom w:val="0"/>
          <w:divBdr>
            <w:top w:val="none" w:sz="0" w:space="0" w:color="auto"/>
            <w:left w:val="none" w:sz="0" w:space="0" w:color="auto"/>
            <w:bottom w:val="none" w:sz="0" w:space="0" w:color="auto"/>
            <w:right w:val="none" w:sz="0" w:space="0" w:color="auto"/>
          </w:divBdr>
          <w:divsChild>
            <w:div w:id="868756764">
              <w:marLeft w:val="0"/>
              <w:marRight w:val="0"/>
              <w:marTop w:val="0"/>
              <w:marBottom w:val="0"/>
              <w:divBdr>
                <w:top w:val="none" w:sz="0" w:space="0" w:color="auto"/>
                <w:left w:val="none" w:sz="0" w:space="0" w:color="auto"/>
                <w:bottom w:val="none" w:sz="0" w:space="0" w:color="auto"/>
                <w:right w:val="none" w:sz="0" w:space="0" w:color="auto"/>
              </w:divBdr>
              <w:divsChild>
                <w:div w:id="8687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674</Words>
  <Characters>3845</Characters>
  <Application>Microsoft Office Outlook</Application>
  <DocSecurity>0</DocSecurity>
  <Lines>0</Lines>
  <Paragraphs>0</Paragraphs>
  <ScaleCrop>false</ScaleCrop>
  <Company>By NeC ® 2010 | Katilimsiz.Com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DİKKAT </dc:title>
  <dc:subject/>
  <dc:creator>Windows Kullanıcısı</dc:creator>
  <cp:keywords/>
  <dc:description/>
  <cp:lastModifiedBy>Users</cp:lastModifiedBy>
  <cp:revision>3</cp:revision>
  <dcterms:created xsi:type="dcterms:W3CDTF">2019-03-10T10:26:00Z</dcterms:created>
  <dcterms:modified xsi:type="dcterms:W3CDTF">2019-03-10T10:26:00Z</dcterms:modified>
</cp:coreProperties>
</file>